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bookmarkStart w:id="1" w:name="_GoBack"/>
      <w:bookmarkEnd w:id="1"/>
      <w:r w:rsidRPr="001A1CC0">
        <w:rPr>
          <w:rFonts w:eastAsia="Times New Roman" w:cs="Times New Roman"/>
          <w:b/>
          <w:bCs/>
          <w:sz w:val="24"/>
          <w:szCs w:val="24"/>
          <w:highlight w:val="red"/>
        </w:rPr>
        <w:t xml:space="preserve">ΠΑΡΑΡΤΗΜΑ </w:t>
      </w:r>
      <w:r w:rsidR="002E4B26" w:rsidRPr="001A1CC0">
        <w:rPr>
          <w:rFonts w:eastAsia="Times New Roman" w:cs="Times New Roman"/>
          <w:b/>
          <w:bCs/>
          <w:sz w:val="24"/>
          <w:szCs w:val="24"/>
          <w:highlight w:val="red"/>
          <w:lang w:val="en-US"/>
        </w:rPr>
        <w:t>V</w:t>
      </w:r>
      <w:r w:rsidRPr="001A1CC0">
        <w:rPr>
          <w:rFonts w:eastAsia="Times New Roman" w:cs="Times New Roman"/>
          <w:b/>
          <w:bCs/>
          <w:sz w:val="24"/>
          <w:szCs w:val="24"/>
          <w:highlight w:val="red"/>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Hyperlink"/>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Footer"/>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Footer"/>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B708A"/>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ECBB-DF0A-4026-8508-784E12E5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Vouvari</dc:creator>
  <cp:lastModifiedBy>Georgia Vouvari</cp:lastModifiedBy>
  <cp:revision>2</cp:revision>
  <dcterms:created xsi:type="dcterms:W3CDTF">2025-12-19T10:18:00Z</dcterms:created>
  <dcterms:modified xsi:type="dcterms:W3CDTF">2025-12-19T10:18:00Z</dcterms:modified>
</cp:coreProperties>
</file>