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580A457C"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E5119">
        <w:rPr>
          <w:sz w:val="20"/>
          <w:szCs w:val="20"/>
        </w:rPr>
        <w:t>εαρινού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r w:rsidRPr="00267EDC">
        <w:rPr>
          <w:sz w:val="20"/>
          <w:szCs w:val="20"/>
        </w:rPr>
        <w:t>αφαιρουμένων</w:t>
      </w:r>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6BFB20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3E5119">
        <w:rPr>
          <w:sz w:val="20"/>
          <w:szCs w:val="20"/>
        </w:rPr>
        <w:t>19</w:t>
      </w:r>
      <w:r w:rsidR="00ED6555" w:rsidRPr="00747EED">
        <w:rPr>
          <w:sz w:val="20"/>
          <w:szCs w:val="20"/>
        </w:rPr>
        <w:t>/0</w:t>
      </w:r>
      <w:r w:rsidR="003E5119">
        <w:rPr>
          <w:sz w:val="20"/>
          <w:szCs w:val="20"/>
        </w:rPr>
        <w:t>6</w:t>
      </w:r>
      <w:r w:rsidR="00ED6555" w:rsidRPr="00747EED">
        <w:rPr>
          <w:sz w:val="20"/>
          <w:szCs w:val="20"/>
        </w:rPr>
        <w:t>/2026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3E5119">
        <w:rPr>
          <w:sz w:val="20"/>
          <w:szCs w:val="20"/>
        </w:rPr>
        <w:t>εαρινού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ακαδ.</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E51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πρωτ.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r w:rsidR="003C6C19" w:rsidRPr="003C6C19">
        <w:rPr>
          <w:sz w:val="20"/>
          <w:szCs w:val="20"/>
        </w:rPr>
        <w:t>ουσα</w:t>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5119"/>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80546"/>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900</Words>
  <Characters>5967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Λιόντα - Μίγγα Χριστίνα</cp:lastModifiedBy>
  <cp:revision>8</cp:revision>
  <cp:lastPrinted>2024-12-05T08:07:00Z</cp:lastPrinted>
  <dcterms:created xsi:type="dcterms:W3CDTF">2024-12-05T08:36:00Z</dcterms:created>
  <dcterms:modified xsi:type="dcterms:W3CDTF">2025-11-20T07:51:00Z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