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5F518879" w:rsidR="009D134C" w:rsidRPr="00D20624" w:rsidRDefault="005C4DA7">
            <w:pPr>
              <w:spacing w:before="240"/>
              <w:ind w:right="-6878"/>
              <w:rPr>
                <w:rStyle w:val="a7"/>
              </w:rPr>
            </w:pPr>
            <w:r w:rsidRPr="00BB36AA">
              <w:rPr>
                <w:rStyle w:val="a7"/>
                <w:rFonts w:ascii="Tahoma" w:hAnsi="Tahoma" w:cs="Tahoma"/>
                <w:sz w:val="22"/>
              </w:rPr>
              <w:t>ΤΜΗΜΑ ΙΤΑΛΙΚΗΣ ΓΛΩΣΣΑΣ ΚΑΙ ΦΙΛΟΛΟΓΙΑΣ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8E6493C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55CA" w:rsidRPr="001B434D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C4DA7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4BB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Maria Doundi</cp:lastModifiedBy>
  <cp:revision>2</cp:revision>
  <cp:lastPrinted>2021-07-15T08:39:00Z</cp:lastPrinted>
  <dcterms:created xsi:type="dcterms:W3CDTF">2024-12-17T11:41:00Z</dcterms:created>
  <dcterms:modified xsi:type="dcterms:W3CDTF">2024-12-17T11:41:00Z</dcterms:modified>
</cp:coreProperties>
</file>