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DD09B"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E302BA"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E302BA"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E302BA"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E302BA"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E302BA"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E302BA"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E302BA"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E302BA"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E302BA"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E302BA"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headerReference w:type="default" r:id="rId8"/>
      <w:footerReference w:type="default" r:id="rId9"/>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E28A" w14:textId="08478CE7" w:rsidR="00E302BA" w:rsidRDefault="00E302BA" w:rsidP="00E302BA">
    <w:pPr>
      <w:pStyle w:val="a7"/>
      <w:tabs>
        <w:tab w:val="clear" w:pos="4153"/>
        <w:tab w:val="center" w:pos="5954"/>
      </w:tabs>
    </w:pPr>
    <w:r>
      <w:tab/>
    </w:r>
    <w:r>
      <w:tab/>
    </w:r>
    <w:r>
      <w:tab/>
    </w:r>
    <w:r>
      <w:tab/>
    </w:r>
    <w:r>
      <w:tab/>
    </w:r>
    <w:r>
      <w:tab/>
    </w:r>
    <w:r>
      <w:tab/>
    </w:r>
    <w:r>
      <w:tab/>
    </w:r>
    <w:r>
      <w:tab/>
    </w:r>
    <w:r>
      <w:tab/>
      <w:t xml:space="preserve">             </w:t>
    </w:r>
    <w:r w:rsidRPr="00E302BA">
      <w:t>ΑΔΑ: ΨΟΡ946Ψ8ΧΒ-4Β5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02BA"/>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D28C0FB-F1A5-44ED-85DC-8F42C95A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800</Words>
  <Characters>4322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Zoi Avgeli</cp:lastModifiedBy>
  <cp:revision>33</cp:revision>
  <cp:lastPrinted>2024-07-18T09:33:00Z</cp:lastPrinted>
  <dcterms:created xsi:type="dcterms:W3CDTF">2024-11-13T09:42:00Z</dcterms:created>
  <dcterms:modified xsi:type="dcterms:W3CDTF">2024-12-16T10:42:00Z</dcterms:modified>
</cp:coreProperties>
</file>